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9A" w:rsidRDefault="002146C7" w:rsidP="0021189A">
      <w:pPr>
        <w:spacing w:line="240" w:lineRule="exact"/>
        <w:ind w:left="4820"/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3.1pt;margin-top:9.65pt;width:180pt;height:22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5uxQIAALo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" filled="f" stroked="f">
            <v:textbox>
              <w:txbxContent>
                <w:p w:rsidR="004556DC" w:rsidRPr="00544FD2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color w:val="0000FF"/>
                      <w:sz w:val="22"/>
                    </w:rPr>
                  </w:pPr>
                  <w:r>
                    <w:rPr>
                      <w:noProof/>
                      <w:sz w:val="22"/>
                      <w:lang w:eastAsia="ru-RU"/>
                    </w:rPr>
                    <w:drawing>
                      <wp:inline distT="0" distB="0" distL="0" distR="0">
                        <wp:extent cx="716915" cy="760730"/>
                        <wp:effectExtent l="19050" t="0" r="698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2"/>
                    </w:rPr>
                  </w:pP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РОССИЙСКОЙ ФЕДЕРАЦИИ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РЕСПУБЛИКИ ДАГЕСТАН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ТЛЯРАТИНСКОГО РАЙОНА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6"/>
                    </w:rPr>
                  </w:pPr>
                </w:p>
                <w:tbl>
                  <w:tblPr>
                    <w:tblW w:w="0" w:type="auto"/>
                    <w:tblInd w:w="57" w:type="dxa"/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  <w:gridCol w:w="360"/>
                    <w:gridCol w:w="1470"/>
                  </w:tblGrid>
                  <w:tr w:rsidR="004556DC" w:rsidRPr="006A333A" w:rsidTr="000657DE">
                    <w:trPr>
                      <w:trHeight w:val="80"/>
                    </w:trPr>
                    <w:tc>
                      <w:tcPr>
                        <w:tcW w:w="3270" w:type="dxa"/>
                        <w:gridSpan w:val="3"/>
                        <w:tcBorders>
                          <w:top w:val="nil"/>
                        </w:tcBorders>
                      </w:tcPr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 w:rsidRPr="006A333A">
                          <w:rPr>
                            <w:color w:val="0000FF"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8420, </w:t>
                        </w:r>
                        <w:proofErr w:type="spellStart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Тляратинский</w:t>
                        </w:r>
                        <w:proofErr w:type="spellEnd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 район, с. Тлярата, </w:t>
                        </w:r>
                      </w:p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тел:  55-29-30, факс: 55-29-27</w:t>
                        </w: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</w:rPr>
                        </w:pPr>
                      </w:p>
                    </w:tc>
                  </w:tr>
                  <w:tr w:rsidR="004556DC" w:rsidRPr="006A333A" w:rsidTr="000657DE">
                    <w:trPr>
                      <w:trHeight w:val="260"/>
                    </w:trPr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4556DC" w:rsidRPr="006A333A" w:rsidRDefault="00B43A64" w:rsidP="002146C7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 xml:space="preserve">  </w:t>
                        </w:r>
                        <w:r w:rsidR="00881E8B">
                          <w:rPr>
                            <w:color w:val="0000FF"/>
                          </w:rPr>
                          <w:t>1</w:t>
                        </w:r>
                        <w:r w:rsidR="002146C7">
                          <w:rPr>
                            <w:color w:val="0000FF"/>
                          </w:rPr>
                          <w:t>3</w:t>
                        </w:r>
                        <w:r w:rsidR="004556DC">
                          <w:rPr>
                            <w:color w:val="0000FF"/>
                          </w:rPr>
                          <w:t>.</w:t>
                        </w:r>
                        <w:r w:rsidR="00881E8B">
                          <w:rPr>
                            <w:color w:val="0000FF"/>
                          </w:rPr>
                          <w:t>1</w:t>
                        </w:r>
                        <w:r w:rsidR="004556DC">
                          <w:rPr>
                            <w:color w:val="0000FF"/>
                          </w:rPr>
                          <w:t>0.20</w:t>
                        </w:r>
                        <w:r>
                          <w:rPr>
                            <w:color w:val="0000FF"/>
                          </w:rPr>
                          <w:t>20</w:t>
                        </w:r>
                        <w:r w:rsidR="004556DC">
                          <w:rPr>
                            <w:color w:val="0000FF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114CA6" w:rsidRDefault="00114CA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  <w:r w:rsidRPr="006A333A">
                          <w:rPr>
                            <w:b/>
                            <w:color w:val="0000FF"/>
                          </w:rPr>
                          <w:t>№</w:t>
                        </w:r>
                      </w:p>
                    </w:tc>
                    <w:tc>
                      <w:tcPr>
                        <w:tcW w:w="1470" w:type="dxa"/>
                        <w:tcBorders>
                          <w:bottom w:val="single" w:sz="4" w:space="0" w:color="auto"/>
                        </w:tcBorders>
                      </w:tcPr>
                      <w:p w:rsidR="00114CA6" w:rsidRDefault="00114CA6" w:rsidP="000B6558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  <w:p w:rsidR="004556DC" w:rsidRPr="006A333A" w:rsidRDefault="00B43A64" w:rsidP="00B43A64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04-04-2020</w:t>
                        </w:r>
                      </w:p>
                    </w:tc>
                  </w:tr>
                </w:tbl>
                <w:p w:rsidR="004556DC" w:rsidRPr="006A333A" w:rsidRDefault="004556DC" w:rsidP="004556DC">
                  <w:pPr>
                    <w:tabs>
                      <w:tab w:val="left" w:pos="912"/>
                    </w:tabs>
                    <w:contextualSpacing/>
                  </w:pPr>
                </w:p>
              </w:txbxContent>
            </v:textbox>
          </v:shape>
        </w:pict>
      </w:r>
      <w:r w:rsidR="004556DC">
        <w:rPr>
          <w:szCs w:val="28"/>
        </w:rPr>
        <w:t>Г</w:t>
      </w:r>
      <w:r w:rsidR="0021189A">
        <w:t xml:space="preserve">лаве администрации МР </w:t>
      </w:r>
    </w:p>
    <w:p w:rsidR="0021189A" w:rsidRDefault="0021189A" w:rsidP="0021189A">
      <w:pPr>
        <w:spacing w:line="240" w:lineRule="exact"/>
        <w:ind w:left="4820"/>
      </w:pPr>
      <w:r>
        <w:t>«</w:t>
      </w:r>
      <w:proofErr w:type="spellStart"/>
      <w:r>
        <w:t>Тляратинский</w:t>
      </w:r>
      <w:proofErr w:type="spellEnd"/>
      <w:r>
        <w:t xml:space="preserve"> район»   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  <w:proofErr w:type="spellStart"/>
      <w:r>
        <w:t>Раджабову</w:t>
      </w:r>
      <w:proofErr w:type="spellEnd"/>
      <w:r>
        <w:t xml:space="preserve"> Р.Г.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Pr="00B43A64" w:rsidRDefault="0021189A" w:rsidP="0021189A">
      <w:pPr>
        <w:pStyle w:val="a3"/>
        <w:spacing w:before="0" w:beforeAutospacing="0" w:after="0" w:afterAutospacing="0"/>
        <w:ind w:firstLine="709"/>
        <w:jc w:val="both"/>
        <w:outlineLvl w:val="3"/>
        <w:rPr>
          <w:sz w:val="28"/>
          <w:szCs w:val="28"/>
        </w:rPr>
      </w:pPr>
    </w:p>
    <w:p w:rsidR="002146C7" w:rsidRPr="002146C7" w:rsidRDefault="0021189A" w:rsidP="002146C7">
      <w:pPr>
        <w:ind w:firstLine="851"/>
        <w:contextualSpacing/>
        <w:jc w:val="both"/>
        <w:rPr>
          <w:rFonts w:cs="Times New Roman"/>
          <w:b/>
          <w:bCs/>
          <w:szCs w:val="28"/>
        </w:rPr>
      </w:pPr>
      <w:r w:rsidRPr="002146C7">
        <w:rPr>
          <w:rFonts w:cs="Times New Roman"/>
          <w:szCs w:val="28"/>
        </w:rPr>
        <w:t>Для опубликования на официальном сайте администрации МР «</w:t>
      </w:r>
      <w:proofErr w:type="spellStart"/>
      <w:r w:rsidRPr="002146C7">
        <w:rPr>
          <w:rFonts w:cs="Times New Roman"/>
          <w:szCs w:val="28"/>
        </w:rPr>
        <w:t>Тляратинский</w:t>
      </w:r>
      <w:proofErr w:type="spellEnd"/>
      <w:r w:rsidRPr="002146C7">
        <w:rPr>
          <w:rFonts w:cs="Times New Roman"/>
          <w:szCs w:val="28"/>
        </w:rPr>
        <w:t xml:space="preserve"> </w:t>
      </w:r>
      <w:proofErr w:type="gramStart"/>
      <w:r w:rsidRPr="002146C7">
        <w:rPr>
          <w:rFonts w:cs="Times New Roman"/>
          <w:szCs w:val="28"/>
        </w:rPr>
        <w:t>район»  в</w:t>
      </w:r>
      <w:proofErr w:type="gramEnd"/>
      <w:r w:rsidRPr="002146C7">
        <w:rPr>
          <w:rFonts w:cs="Times New Roman"/>
          <w:szCs w:val="28"/>
        </w:rPr>
        <w:t xml:space="preserve"> рубрике «Прокуратура разъясняет»  направляется статья</w:t>
      </w:r>
      <w:r w:rsidR="002146C7" w:rsidRPr="002146C7">
        <w:rPr>
          <w:rFonts w:cs="Times New Roman"/>
          <w:szCs w:val="28"/>
        </w:rPr>
        <w:t xml:space="preserve"> </w:t>
      </w:r>
      <w:r w:rsidR="002146C7" w:rsidRPr="002146C7">
        <w:rPr>
          <w:rFonts w:cs="Times New Roman"/>
          <w:b/>
          <w:bCs/>
          <w:szCs w:val="28"/>
        </w:rPr>
        <w:t xml:space="preserve">«Об </w:t>
      </w:r>
      <w:bookmarkStart w:id="0" w:name="_GoBack"/>
      <w:r w:rsidR="002146C7" w:rsidRPr="002146C7">
        <w:rPr>
          <w:rFonts w:cs="Times New Roman"/>
          <w:b/>
          <w:bCs/>
          <w:szCs w:val="28"/>
        </w:rPr>
        <w:t>уголовной ответственности за незаконное пересечение государственной границы Российской Федерации</w:t>
      </w:r>
      <w:bookmarkEnd w:id="0"/>
      <w:r w:rsidR="002146C7" w:rsidRPr="002146C7">
        <w:rPr>
          <w:rFonts w:cs="Times New Roman"/>
          <w:b/>
          <w:bCs/>
          <w:szCs w:val="28"/>
        </w:rPr>
        <w:t>»</w:t>
      </w:r>
    </w:p>
    <w:p w:rsidR="002146C7" w:rsidRPr="002146C7" w:rsidRDefault="002146C7" w:rsidP="002146C7">
      <w:pPr>
        <w:ind w:firstLine="851"/>
        <w:contextualSpacing/>
        <w:jc w:val="both"/>
        <w:rPr>
          <w:rFonts w:cs="Times New Roman"/>
          <w:szCs w:val="28"/>
          <w:shd w:val="clear" w:color="auto" w:fill="FFFFFF"/>
        </w:rPr>
      </w:pPr>
      <w:r w:rsidRPr="002146C7">
        <w:rPr>
          <w:rFonts w:cs="Times New Roman"/>
          <w:szCs w:val="28"/>
          <w:shd w:val="clear" w:color="auto" w:fill="FFFFFF"/>
        </w:rPr>
        <w:t>Статья 322 Уголовного кодекса Российской Федерации предусматривает уголовную ответственность за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разрешения, полученного в порядке, установленном законодательством Российской Федерации.</w:t>
      </w:r>
    </w:p>
    <w:p w:rsidR="002146C7" w:rsidRPr="002146C7" w:rsidRDefault="002146C7" w:rsidP="002146C7">
      <w:pPr>
        <w:ind w:firstLine="851"/>
        <w:contextualSpacing/>
        <w:jc w:val="both"/>
        <w:rPr>
          <w:rFonts w:cs="Times New Roman"/>
          <w:szCs w:val="28"/>
          <w:shd w:val="clear" w:color="auto" w:fill="FFFFFF"/>
        </w:rPr>
      </w:pPr>
      <w:r w:rsidRPr="002146C7">
        <w:rPr>
          <w:rFonts w:cs="Times New Roman"/>
          <w:szCs w:val="28"/>
          <w:shd w:val="clear" w:color="auto" w:fill="FFFFFF"/>
        </w:rPr>
        <w:t>Незаконным пересечением признается пересечение Государственной границы РФ без действительных документов на право въезда или выезда на территорию РФ либо без надлежащего разрешения, полученного в порядке, установленном законодательством РФ.</w:t>
      </w:r>
    </w:p>
    <w:p w:rsidR="002146C7" w:rsidRPr="002146C7" w:rsidRDefault="002146C7" w:rsidP="002146C7">
      <w:pPr>
        <w:ind w:firstLine="851"/>
        <w:contextualSpacing/>
        <w:jc w:val="both"/>
        <w:rPr>
          <w:rFonts w:cs="Times New Roman"/>
          <w:szCs w:val="28"/>
          <w:shd w:val="clear" w:color="auto" w:fill="FFFFFF"/>
        </w:rPr>
      </w:pPr>
      <w:r w:rsidRPr="002146C7">
        <w:rPr>
          <w:rFonts w:cs="Times New Roman"/>
          <w:szCs w:val="28"/>
          <w:shd w:val="clear" w:color="auto" w:fill="FFFFFF"/>
        </w:rPr>
        <w:t>В соответствии с частью 2 статьи 322 УК РФ предусмотрена ответственность за въезд на территорию РФ иностранного гражданина или лица без гражданства, въезд которым в РФ не разрешен.</w:t>
      </w:r>
    </w:p>
    <w:p w:rsidR="002146C7" w:rsidRPr="002146C7" w:rsidRDefault="002146C7" w:rsidP="002146C7">
      <w:pPr>
        <w:ind w:firstLine="851"/>
        <w:contextualSpacing/>
        <w:jc w:val="both"/>
        <w:rPr>
          <w:rFonts w:cs="Times New Roman"/>
          <w:szCs w:val="28"/>
          <w:shd w:val="clear" w:color="auto" w:fill="FFFFFF"/>
        </w:rPr>
      </w:pPr>
      <w:r w:rsidRPr="002146C7">
        <w:rPr>
          <w:rFonts w:cs="Times New Roman"/>
          <w:szCs w:val="28"/>
          <w:shd w:val="clear" w:color="auto" w:fill="FFFFFF"/>
        </w:rPr>
        <w:t>Необходимо отметить, что требования данной статьи не распространяются на случаи прибытия в РФ иностранных граждан и лиц без гражданства с нарушением правил пересечения Государственной границы Российской Федерации для использования права политического убежища, если в действиях этих лиц не содержится иного состава преступления.</w:t>
      </w:r>
    </w:p>
    <w:p w:rsidR="002146C7" w:rsidRPr="002146C7" w:rsidRDefault="002146C7" w:rsidP="002146C7">
      <w:pPr>
        <w:ind w:firstLine="851"/>
        <w:contextualSpacing/>
        <w:jc w:val="both"/>
        <w:rPr>
          <w:rFonts w:cs="Times New Roman"/>
          <w:szCs w:val="28"/>
          <w:shd w:val="clear" w:color="auto" w:fill="FFFFFF"/>
        </w:rPr>
      </w:pPr>
      <w:r w:rsidRPr="002146C7">
        <w:rPr>
          <w:rFonts w:cs="Times New Roman"/>
          <w:szCs w:val="28"/>
          <w:shd w:val="clear" w:color="auto" w:fill="FFFFFF"/>
        </w:rPr>
        <w:t>Состав этого преступления заключается в пересечении Государственной границы РФ с прохождением пограничного контроля в пунктах пропуска либо в пересечении границы вне таких пунктов без действительных документов на право въезда в Российскую Федерацию или выезда из страны, либо без надлежащего разрешения, полученного в установленном законом порядке.</w:t>
      </w:r>
    </w:p>
    <w:p w:rsidR="002146C7" w:rsidRPr="002146C7" w:rsidRDefault="002146C7" w:rsidP="002146C7">
      <w:pPr>
        <w:ind w:firstLine="851"/>
        <w:contextualSpacing/>
        <w:jc w:val="both"/>
        <w:rPr>
          <w:rFonts w:cs="Times New Roman"/>
          <w:szCs w:val="28"/>
        </w:rPr>
      </w:pPr>
      <w:r w:rsidRPr="002146C7">
        <w:rPr>
          <w:rFonts w:cs="Times New Roman"/>
          <w:szCs w:val="28"/>
          <w:shd w:val="clear" w:color="auto" w:fill="FFFFFF"/>
        </w:rPr>
        <w:t xml:space="preserve">При этом под действительными документами на право въезда или выезда из страны понимаются выданные в установленном порядке документы, удостоверяющие личность гражданина РФ, иностранного гражданина или лица без гражданства (паспорт, заграничный паспорт, дипломатический или </w:t>
      </w:r>
      <w:r w:rsidRPr="002146C7">
        <w:rPr>
          <w:rFonts w:cs="Times New Roman"/>
          <w:szCs w:val="28"/>
          <w:shd w:val="clear" w:color="auto" w:fill="FFFFFF"/>
        </w:rPr>
        <w:lastRenderedPageBreak/>
        <w:t>служебный паспорт, вид на жительство в РФ), а также иные документы, признаваемые в этом качестве международными договорами РФ и иными нормативными актами (например, свидетельство на возвращение, проездной документ беженца).</w:t>
      </w:r>
    </w:p>
    <w:p w:rsidR="002146C7" w:rsidRPr="002146C7" w:rsidRDefault="002146C7" w:rsidP="002146C7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2146C7">
        <w:rPr>
          <w:sz w:val="28"/>
          <w:szCs w:val="28"/>
          <w:shd w:val="clear" w:color="auto" w:fill="FFFFFF"/>
        </w:rPr>
        <w:t>Надлежащее разрешение- это выданное уполномоченным государственным органом разрешение на въезд и пребывание в РФ или транзитный проезд через территорию страны (виза), разрешение на местное приграничное передвижение, разрешение Правительства РФ либо пограничного органа.</w:t>
      </w:r>
    </w:p>
    <w:p w:rsidR="002146C7" w:rsidRPr="002146C7" w:rsidRDefault="002146C7" w:rsidP="002146C7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2146C7">
        <w:rPr>
          <w:sz w:val="28"/>
          <w:szCs w:val="28"/>
          <w:shd w:val="clear" w:color="auto" w:fill="FFFFFF"/>
        </w:rPr>
        <w:t>Кроме того, пересечением границы без действительных документов признаются также действия лица, совершенные с использованием заведомо поддельных документов (например, документов с внесенными ложными сведениями о личности владельца, включая его фамилию, имя, отчество, дату рождения, документов, подделанных иным способом) либо с использованием подлинных документов, принадлежащих другому лицу, или совершенные при отсутствии у лица каких-либо документов на право въезда или выезда из страны.</w:t>
      </w:r>
    </w:p>
    <w:p w:rsidR="002146C7" w:rsidRPr="002146C7" w:rsidRDefault="002146C7" w:rsidP="002146C7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2146C7">
        <w:rPr>
          <w:sz w:val="28"/>
          <w:szCs w:val="28"/>
          <w:shd w:val="clear" w:color="auto" w:fill="FFFFFF"/>
        </w:rPr>
        <w:t xml:space="preserve">Наказание за такие действия предусматривается в виде штрафа в размере до двухсот тысяч рублей или в размере заработной платы или иного дохода осужденного за период до восемнадцати месяцев, либо принудительными работами на срок до двух лет, либо лишением свободы на тот же </w:t>
      </w:r>
      <w:proofErr w:type="spellStart"/>
      <w:proofErr w:type="gramStart"/>
      <w:r w:rsidRPr="002146C7">
        <w:rPr>
          <w:sz w:val="28"/>
          <w:szCs w:val="28"/>
          <w:shd w:val="clear" w:color="auto" w:fill="FFFFFF"/>
        </w:rPr>
        <w:t>срок.Кроме</w:t>
      </w:r>
      <w:proofErr w:type="spellEnd"/>
      <w:proofErr w:type="gramEnd"/>
      <w:r w:rsidRPr="002146C7">
        <w:rPr>
          <w:sz w:val="28"/>
          <w:szCs w:val="28"/>
          <w:shd w:val="clear" w:color="auto" w:fill="FFFFFF"/>
        </w:rPr>
        <w:t xml:space="preserve"> того, предусмотрено наказание за пересечение Государственной границы при въезде в Российскую Федерацию иностранным гражданином или лицом без гражданства, въезд которым в страну заведомо для них не разрешен.</w:t>
      </w:r>
    </w:p>
    <w:p w:rsidR="002146C7" w:rsidRPr="002146C7" w:rsidRDefault="002146C7" w:rsidP="002146C7">
      <w:pPr>
        <w:pStyle w:val="a3"/>
        <w:shd w:val="clear" w:color="auto" w:fill="FFFFFF"/>
        <w:spacing w:before="0" w:beforeAutospacing="0" w:after="225" w:afterAutospacing="0"/>
        <w:ind w:firstLine="709"/>
        <w:contextualSpacing/>
        <w:jc w:val="both"/>
        <w:rPr>
          <w:sz w:val="28"/>
          <w:szCs w:val="28"/>
        </w:rPr>
      </w:pPr>
      <w:r w:rsidRPr="002146C7">
        <w:rPr>
          <w:sz w:val="28"/>
          <w:szCs w:val="28"/>
          <w:shd w:val="clear" w:color="auto" w:fill="FFFFFF"/>
        </w:rPr>
        <w:t>Установлено более строгое наказание за совершение таких действий группой лиц по предварительному сговору или организованной группой либо с применением насилия или с угрозой его применения. В таком случае наказание может составить до шести лет лишения свободы.</w:t>
      </w:r>
    </w:p>
    <w:p w:rsidR="00BB08B6" w:rsidRPr="00BE4D29" w:rsidRDefault="00CB1147" w:rsidP="00CB1147">
      <w:pPr>
        <w:shd w:val="clear" w:color="auto" w:fill="FFFFFF"/>
        <w:spacing w:after="225"/>
        <w:jc w:val="both"/>
        <w:rPr>
          <w:szCs w:val="28"/>
        </w:rPr>
      </w:pPr>
      <w:r w:rsidRPr="00CB114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1074B" w:rsidRPr="00B43A64" w:rsidRDefault="00B1074B" w:rsidP="00B43A64">
      <w:pPr>
        <w:pStyle w:val="a3"/>
        <w:spacing w:before="0" w:beforeAutospacing="0" w:after="0" w:afterAutospacing="0"/>
        <w:contextualSpacing/>
        <w:jc w:val="both"/>
        <w:outlineLvl w:val="3"/>
        <w:rPr>
          <w:sz w:val="28"/>
          <w:szCs w:val="28"/>
        </w:rPr>
      </w:pPr>
      <w:r w:rsidRPr="00B43A64">
        <w:rPr>
          <w:sz w:val="28"/>
          <w:szCs w:val="28"/>
        </w:rPr>
        <w:t xml:space="preserve">Прокурор района                                             </w:t>
      </w:r>
      <w:r w:rsidR="00697459" w:rsidRPr="00B43A64">
        <w:rPr>
          <w:sz w:val="28"/>
          <w:szCs w:val="28"/>
        </w:rPr>
        <w:t xml:space="preserve">                           </w:t>
      </w:r>
      <w:r w:rsidRPr="00B43A64">
        <w:rPr>
          <w:sz w:val="28"/>
          <w:szCs w:val="28"/>
        </w:rPr>
        <w:t xml:space="preserve">    </w:t>
      </w:r>
      <w:r w:rsidR="0021189A" w:rsidRPr="00B43A64">
        <w:rPr>
          <w:sz w:val="28"/>
          <w:szCs w:val="28"/>
        </w:rPr>
        <w:t xml:space="preserve">         </w:t>
      </w:r>
      <w:r w:rsidRPr="00B43A64">
        <w:rPr>
          <w:sz w:val="28"/>
          <w:szCs w:val="28"/>
        </w:rPr>
        <w:t>О.Р. Рамазанов</w:t>
      </w:r>
    </w:p>
    <w:sectPr w:rsidR="00B1074B" w:rsidRPr="00B43A64" w:rsidSect="002146C7">
      <w:pgSz w:w="11906" w:h="16838"/>
      <w:pgMar w:top="1135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8B6"/>
    <w:rsid w:val="000279B0"/>
    <w:rsid w:val="00046952"/>
    <w:rsid w:val="000D269D"/>
    <w:rsid w:val="00114CA6"/>
    <w:rsid w:val="00195D76"/>
    <w:rsid w:val="00204B52"/>
    <w:rsid w:val="0021189A"/>
    <w:rsid w:val="002146C7"/>
    <w:rsid w:val="002D47A5"/>
    <w:rsid w:val="00305239"/>
    <w:rsid w:val="00346CDA"/>
    <w:rsid w:val="003571CE"/>
    <w:rsid w:val="0036229F"/>
    <w:rsid w:val="0039504E"/>
    <w:rsid w:val="003A32FF"/>
    <w:rsid w:val="00441F30"/>
    <w:rsid w:val="004556DC"/>
    <w:rsid w:val="004E3EA1"/>
    <w:rsid w:val="005D656E"/>
    <w:rsid w:val="00641CF2"/>
    <w:rsid w:val="00686823"/>
    <w:rsid w:val="00690174"/>
    <w:rsid w:val="00697459"/>
    <w:rsid w:val="007A4998"/>
    <w:rsid w:val="00817CFE"/>
    <w:rsid w:val="00881E8B"/>
    <w:rsid w:val="00941A57"/>
    <w:rsid w:val="009C730C"/>
    <w:rsid w:val="009E19D6"/>
    <w:rsid w:val="00A80A61"/>
    <w:rsid w:val="00AD6DC0"/>
    <w:rsid w:val="00B1074B"/>
    <w:rsid w:val="00B127C7"/>
    <w:rsid w:val="00B32245"/>
    <w:rsid w:val="00B34236"/>
    <w:rsid w:val="00B43A64"/>
    <w:rsid w:val="00B72974"/>
    <w:rsid w:val="00BB08B6"/>
    <w:rsid w:val="00BE4D29"/>
    <w:rsid w:val="00BE5F0D"/>
    <w:rsid w:val="00CB1147"/>
    <w:rsid w:val="00CD3E76"/>
    <w:rsid w:val="00D8361C"/>
    <w:rsid w:val="00E176EF"/>
    <w:rsid w:val="00E308C3"/>
    <w:rsid w:val="00F777A6"/>
    <w:rsid w:val="00FB1AEF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0D21267"/>
  <w15:docId w15:val="{61A459D4-DA11-4B79-8D16-F5BF2F9D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74"/>
  </w:style>
  <w:style w:type="paragraph" w:styleId="1">
    <w:name w:val="heading 1"/>
    <w:basedOn w:val="a"/>
    <w:link w:val="10"/>
    <w:uiPriority w:val="9"/>
    <w:qFormat/>
    <w:rsid w:val="00E308C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1E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8C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308C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81E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5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03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916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24635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4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5369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Прокуратура</cp:lastModifiedBy>
  <cp:revision>30</cp:revision>
  <cp:lastPrinted>2020-10-13T07:49:00Z</cp:lastPrinted>
  <dcterms:created xsi:type="dcterms:W3CDTF">2017-04-19T06:10:00Z</dcterms:created>
  <dcterms:modified xsi:type="dcterms:W3CDTF">2020-10-13T07:49:00Z</dcterms:modified>
</cp:coreProperties>
</file>